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C510A6" w:rsidP="00E05C8B">
            <w:pPr>
              <w:widowControl/>
              <w:jc w:val="both"/>
              <w:rPr>
                <w:b/>
                <w:sz w:val="20"/>
              </w:rPr>
            </w:pPr>
            <w:r w:rsidRPr="00C510A6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 per l’affidamento della fornitura </w:t>
            </w:r>
            <w:r w:rsidR="00B21A63">
              <w:rPr>
                <w:rFonts w:ascii="Palatino Linotype" w:hAnsi="Palatino Linotype"/>
                <w:b/>
                <w:szCs w:val="24"/>
                <w:lang w:eastAsia="ar-SA"/>
              </w:rPr>
              <w:t xml:space="preserve">triennale </w:t>
            </w:r>
            <w:bookmarkStart w:id="0" w:name="_GoBack"/>
            <w:bookmarkEnd w:id="0"/>
            <w:r w:rsidRPr="00C510A6">
              <w:rPr>
                <w:rFonts w:ascii="Palatino Linotype" w:hAnsi="Palatino Linotype"/>
                <w:b/>
                <w:szCs w:val="24"/>
                <w:lang w:eastAsia="ar-SA"/>
              </w:rPr>
              <w:t xml:space="preserve"> di “cateteri venosi Midline” per l’U.O.C. Anestesia e Rianimazione dei PP.OO. dell’ASM, comma 1 del D.Lgs. n. 36/2023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>ai sensi degli articoli 46 e 47 del D.P.R. 28 dicembre 2000, n. 445 e s.m.i. consapevole delle sanzioni penali previste dall’articolo 76 del medesimo D.P.R. 445/2000 e s.m.i.,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D.Lgs. n. 36/2023, ovvero dell’automatismo procedimentale di cui all’art. 36 del D.Lgs. n. 36/2023</w:t>
      </w:r>
      <w:r>
        <w:rPr>
          <w:spacing w:val="-2"/>
        </w:rPr>
        <w:t>:</w:t>
      </w:r>
    </w:p>
    <w:p w:rsidR="00E05C8B" w:rsidRDefault="00E05C8B" w:rsidP="00E05C8B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>di autorizzare l’accesso di tutta la documentazione presentata per la partecipazione alla gara non essendo presente alcun documento che possa contenere dati riconducibili a riservatezza di natura tecnica e/o commerciale;</w:t>
      </w:r>
    </w:p>
    <w:p w:rsidR="00E05C8B" w:rsidRDefault="00E05C8B" w:rsidP="00E05C8B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E05C8B" w:rsidRDefault="00E05C8B" w:rsidP="00E05C8B">
      <w:pPr>
        <w:pStyle w:val="Corpotesto"/>
        <w:spacing w:before="32"/>
        <w:rPr>
          <w:rFonts w:ascii="Arial"/>
          <w:b/>
          <w:i/>
        </w:rPr>
      </w:pPr>
    </w:p>
    <w:p w:rsidR="00E05C8B" w:rsidRDefault="00E05C8B" w:rsidP="00E05C8B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autorizzare, ai sensi dell’art. 35, comma 4 del D.Lgs. n. 36/2023,</w:t>
      </w:r>
      <w:r>
        <w:rPr>
          <w:spacing w:val="10"/>
          <w:sz w:val="20"/>
        </w:rPr>
        <w:t xml:space="preserve"> </w:t>
      </w:r>
      <w:r>
        <w:rPr>
          <w:sz w:val="20"/>
        </w:rPr>
        <w:t>l’accesso documentale di parti specifiche all’offerta ed alle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E05C8B">
      <w:pPr>
        <w:ind w:left="5245"/>
        <w:jc w:val="center"/>
        <w:rPr>
          <w:rFonts w:ascii="Arial"/>
          <w:b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37B" w:rsidRDefault="00340427">
      <w:r>
        <w:separator/>
      </w:r>
    </w:p>
  </w:endnote>
  <w:endnote w:type="continuationSeparator" w:id="0">
    <w:p w:rsidR="0072637B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B21A63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B21A63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37B" w:rsidRDefault="00340427">
      <w:r>
        <w:separator/>
      </w:r>
    </w:p>
  </w:footnote>
  <w:footnote w:type="continuationSeparator" w:id="0">
    <w:p w:rsidR="0072637B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340427"/>
    <w:rsid w:val="0072637B"/>
    <w:rsid w:val="008031B6"/>
    <w:rsid w:val="008267A2"/>
    <w:rsid w:val="00B21A63"/>
    <w:rsid w:val="00C510A6"/>
    <w:rsid w:val="00E0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8A2AB3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Brunella Carlucci</cp:lastModifiedBy>
  <cp:revision>5</cp:revision>
  <dcterms:created xsi:type="dcterms:W3CDTF">2025-06-11T08:06:00Z</dcterms:created>
  <dcterms:modified xsi:type="dcterms:W3CDTF">2026-03-06T08:39:00Z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